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17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9691"/>
      </w:tblGrid>
      <w:tr w:rsidR="00412F1A" w14:paraId="240F9676" w14:textId="77777777" w:rsidTr="00A932DE">
        <w:trPr>
          <w:trHeight w:val="349"/>
        </w:trPr>
        <w:tc>
          <w:tcPr>
            <w:tcW w:w="8946" w:type="dxa"/>
          </w:tcPr>
          <w:p w14:paraId="06EB4EC7" w14:textId="77777777" w:rsidR="00412F1A" w:rsidRPr="00C24132" w:rsidRDefault="00412F1A" w:rsidP="00A932DE">
            <w:pPr>
              <w:pStyle w:val="Heading1"/>
              <w:spacing w:after="120"/>
              <w:rPr>
                <w:sz w:val="36"/>
                <w:szCs w:val="36"/>
              </w:rPr>
            </w:pPr>
            <w:r>
              <w:rPr>
                <w:sz w:val="36"/>
                <w:szCs w:val="36"/>
              </w:rPr>
              <w:t xml:space="preserve">       </w:t>
            </w:r>
            <w:r w:rsidRPr="00C24132">
              <w:rPr>
                <w:sz w:val="36"/>
                <w:szCs w:val="36"/>
              </w:rPr>
              <w:t>Market Update</w:t>
            </w:r>
          </w:p>
          <w:p w14:paraId="0C39E4EA" w14:textId="77777777" w:rsidR="00412F1A" w:rsidRPr="00C24132" w:rsidRDefault="00412F1A" w:rsidP="00EE5B43">
            <w:pPr>
              <w:spacing w:after="0"/>
            </w:pPr>
          </w:p>
        </w:tc>
      </w:tr>
    </w:tbl>
    <w:tbl>
      <w:tblPr>
        <w:tblStyle w:val="TableGrid"/>
        <w:tblW w:w="5721" w:type="pct"/>
        <w:tblInd w:w="-142"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922"/>
        <w:gridCol w:w="9788"/>
      </w:tblGrid>
      <w:tr w:rsidR="00412F1A" w14:paraId="5EC3A08C" w14:textId="77777777" w:rsidTr="00A932DE">
        <w:trPr>
          <w:trHeight w:val="32"/>
        </w:trPr>
        <w:tc>
          <w:tcPr>
            <w:tcW w:w="851" w:type="dxa"/>
            <w:tcBorders>
              <w:top w:val="nil"/>
              <w:bottom w:val="nil"/>
            </w:tcBorders>
          </w:tcPr>
          <w:p w14:paraId="050C0237" w14:textId="77777777" w:rsidR="00412F1A" w:rsidRDefault="00412F1A" w:rsidP="00412F1A">
            <w:pPr>
              <w:spacing w:after="0" w:line="259" w:lineRule="auto"/>
            </w:pPr>
          </w:p>
        </w:tc>
        <w:tc>
          <w:tcPr>
            <w:tcW w:w="9035" w:type="dxa"/>
            <w:tcBorders>
              <w:top w:val="nil"/>
              <w:bottom w:val="nil"/>
            </w:tcBorders>
          </w:tcPr>
          <w:p w14:paraId="38BDA730" w14:textId="77777777" w:rsidR="00412F1A" w:rsidRDefault="00412F1A" w:rsidP="00412F1A">
            <w:pPr>
              <w:spacing w:after="0"/>
            </w:pPr>
          </w:p>
        </w:tc>
      </w:tr>
      <w:tr w:rsidR="00412F1A" w14:paraId="6A79682F" w14:textId="77777777" w:rsidTr="00A932DE">
        <w:trPr>
          <w:trHeight w:val="121"/>
        </w:trPr>
        <w:tc>
          <w:tcPr>
            <w:tcW w:w="851" w:type="dxa"/>
            <w:tcBorders>
              <w:top w:val="nil"/>
              <w:bottom w:val="nil"/>
            </w:tcBorders>
          </w:tcPr>
          <w:p w14:paraId="11F2F8F9" w14:textId="77777777" w:rsidR="00412F1A" w:rsidRDefault="00412F1A" w:rsidP="00A932DE"/>
        </w:tc>
        <w:tc>
          <w:tcPr>
            <w:tcW w:w="9035" w:type="dxa"/>
            <w:tcBorders>
              <w:top w:val="nil"/>
              <w:bottom w:val="nil"/>
            </w:tcBorders>
          </w:tcPr>
          <w:p w14:paraId="31462154" w14:textId="77777777" w:rsidR="00412F1A" w:rsidRDefault="00412F1A" w:rsidP="00A932DE"/>
        </w:tc>
      </w:tr>
      <w:tr w:rsidR="00412F1A" w:rsidRPr="00D26852" w14:paraId="4A6AD863" w14:textId="77777777" w:rsidTr="00A932DE">
        <w:trPr>
          <w:trHeight w:val="37"/>
        </w:trPr>
        <w:tc>
          <w:tcPr>
            <w:tcW w:w="851" w:type="dxa"/>
            <w:tcBorders>
              <w:top w:val="nil"/>
              <w:bottom w:val="nil"/>
            </w:tcBorders>
          </w:tcPr>
          <w:p w14:paraId="4E9EB6A7" w14:textId="77777777" w:rsidR="00412F1A" w:rsidRPr="00D26852" w:rsidRDefault="00412F1A" w:rsidP="00A932DE">
            <w:pPr>
              <w:spacing w:line="259" w:lineRule="auto"/>
              <w:jc w:val="both"/>
              <w:rPr>
                <w:sz w:val="22"/>
                <w:szCs w:val="22"/>
              </w:rPr>
            </w:pPr>
          </w:p>
        </w:tc>
        <w:tc>
          <w:tcPr>
            <w:tcW w:w="9035" w:type="dxa"/>
            <w:tcBorders>
              <w:top w:val="nil"/>
              <w:bottom w:val="nil"/>
            </w:tcBorders>
          </w:tcPr>
          <w:p w14:paraId="39D20DDE" w14:textId="17D44618" w:rsidR="00412F1A" w:rsidRPr="00D26852" w:rsidRDefault="00EE5B43" w:rsidP="00A932DE">
            <w:pPr>
              <w:rPr>
                <w:sz w:val="22"/>
                <w:szCs w:val="22"/>
              </w:rPr>
            </w:pPr>
            <w:r>
              <w:rPr>
                <w:sz w:val="22"/>
                <w:szCs w:val="22"/>
              </w:rPr>
              <w:t xml:space="preserve">  </w:t>
            </w:r>
            <w:r w:rsidR="00412F1A" w:rsidRPr="00D26852">
              <w:rPr>
                <w:sz w:val="22"/>
                <w:szCs w:val="22"/>
              </w:rPr>
              <w:t>From: Sharon Wigle</w:t>
            </w:r>
          </w:p>
        </w:tc>
      </w:tr>
    </w:tbl>
    <w:p w14:paraId="297F04C3" w14:textId="1A5952B8" w:rsidR="002434D8" w:rsidRPr="00D26852" w:rsidRDefault="00412F1A">
      <w:pPr>
        <w:rPr>
          <w:sz w:val="22"/>
          <w:szCs w:val="22"/>
        </w:rPr>
      </w:pPr>
      <w:r w:rsidRPr="00D26852">
        <w:rPr>
          <w:sz w:val="22"/>
          <w:szCs w:val="22"/>
        </w:rPr>
        <w:t xml:space="preserve">                  </w:t>
      </w:r>
      <w:r w:rsidR="000A7731" w:rsidRPr="00D26852">
        <w:rPr>
          <w:sz w:val="22"/>
          <w:szCs w:val="22"/>
        </w:rPr>
        <w:t xml:space="preserve">Saturday </w:t>
      </w:r>
      <w:r w:rsidR="00EE5B43">
        <w:rPr>
          <w:sz w:val="22"/>
          <w:szCs w:val="22"/>
        </w:rPr>
        <w:t xml:space="preserve">June </w:t>
      </w:r>
      <w:r w:rsidR="000A7731" w:rsidRPr="00D26852">
        <w:rPr>
          <w:sz w:val="22"/>
          <w:szCs w:val="22"/>
        </w:rPr>
        <w:t>10</w:t>
      </w:r>
      <w:r w:rsidRPr="00D26852">
        <w:rPr>
          <w:sz w:val="22"/>
          <w:szCs w:val="22"/>
        </w:rPr>
        <w:t>, 2023</w:t>
      </w:r>
    </w:p>
    <w:p w14:paraId="00739AF3" w14:textId="2D32E107" w:rsidR="00412F1A" w:rsidRPr="00D26852" w:rsidRDefault="00412F1A">
      <w:pPr>
        <w:rPr>
          <w:sz w:val="22"/>
          <w:szCs w:val="22"/>
        </w:rPr>
      </w:pPr>
      <w:r w:rsidRPr="00D26852">
        <w:rPr>
          <w:sz w:val="22"/>
          <w:szCs w:val="22"/>
        </w:rPr>
        <w:t xml:space="preserve">                  Re: The S&amp;P 500 Is Up???</w:t>
      </w:r>
    </w:p>
    <w:p w14:paraId="64C0B53B" w14:textId="77777777" w:rsidR="00EE5B43" w:rsidRDefault="00EE5B43">
      <w:pPr>
        <w:rPr>
          <w:sz w:val="22"/>
          <w:szCs w:val="22"/>
        </w:rPr>
      </w:pPr>
    </w:p>
    <w:p w14:paraId="4C914BCA" w14:textId="365B39AF" w:rsidR="00580C71" w:rsidRPr="00D26852" w:rsidRDefault="00412F1A">
      <w:pPr>
        <w:rPr>
          <w:color w:val="252525"/>
          <w:sz w:val="22"/>
          <w:szCs w:val="22"/>
        </w:rPr>
      </w:pPr>
      <w:r w:rsidRPr="00D26852">
        <w:rPr>
          <w:sz w:val="22"/>
          <w:szCs w:val="22"/>
        </w:rPr>
        <w:t>As of last week’s stock market close</w:t>
      </w:r>
      <w:r w:rsidR="00116F3A" w:rsidRPr="00D26852">
        <w:rPr>
          <w:sz w:val="22"/>
          <w:szCs w:val="22"/>
        </w:rPr>
        <w:t>,</w:t>
      </w:r>
      <w:r w:rsidRPr="00D26852">
        <w:rPr>
          <w:sz w:val="22"/>
          <w:szCs w:val="22"/>
        </w:rPr>
        <w:t xml:space="preserve"> the U.S. broad market, as measured by the S&amp;P 500 Index, is up a hefty </w:t>
      </w:r>
      <w:r w:rsidR="0073255A" w:rsidRPr="00D26852">
        <w:rPr>
          <w:sz w:val="22"/>
          <w:szCs w:val="22"/>
        </w:rPr>
        <w:t>9.6</w:t>
      </w:r>
      <w:r w:rsidRPr="00D26852">
        <w:rPr>
          <w:sz w:val="22"/>
          <w:szCs w:val="22"/>
        </w:rPr>
        <w:t xml:space="preserve">5% </w:t>
      </w:r>
      <w:r w:rsidR="00BC4773" w:rsidRPr="00D26852">
        <w:rPr>
          <w:sz w:val="22"/>
          <w:szCs w:val="22"/>
        </w:rPr>
        <w:t>from December 31</w:t>
      </w:r>
      <w:r w:rsidR="00BC4773" w:rsidRPr="00D26852">
        <w:rPr>
          <w:sz w:val="22"/>
          <w:szCs w:val="22"/>
          <w:vertAlign w:val="superscript"/>
        </w:rPr>
        <w:t>st</w:t>
      </w:r>
      <w:r w:rsidR="00BC4773" w:rsidRPr="00D26852">
        <w:rPr>
          <w:sz w:val="22"/>
          <w:szCs w:val="22"/>
        </w:rPr>
        <w:t xml:space="preserve"> to the end of May.</w:t>
      </w:r>
      <w:r w:rsidRPr="00D26852">
        <w:rPr>
          <w:sz w:val="22"/>
          <w:szCs w:val="22"/>
        </w:rPr>
        <w:t xml:space="preserve">  </w:t>
      </w:r>
      <w:r w:rsidR="000A7731" w:rsidRPr="00D26852">
        <w:rPr>
          <w:sz w:val="22"/>
          <w:szCs w:val="22"/>
        </w:rPr>
        <w:t>Sounds great</w:t>
      </w:r>
      <w:r w:rsidR="007D781B" w:rsidRPr="00D26852">
        <w:rPr>
          <w:sz w:val="22"/>
          <w:szCs w:val="22"/>
        </w:rPr>
        <w:t xml:space="preserve">, especially after last year, doesn’t it? </w:t>
      </w:r>
      <w:r w:rsidRPr="00D26852">
        <w:rPr>
          <w:sz w:val="22"/>
          <w:szCs w:val="22"/>
        </w:rPr>
        <w:t xml:space="preserve">However, taking a </w:t>
      </w:r>
      <w:r w:rsidR="00F61D87" w:rsidRPr="00D26852">
        <w:rPr>
          <w:sz w:val="22"/>
          <w:szCs w:val="22"/>
        </w:rPr>
        <w:t xml:space="preserve">moment to </w:t>
      </w:r>
      <w:r w:rsidRPr="00D26852">
        <w:rPr>
          <w:sz w:val="22"/>
          <w:szCs w:val="22"/>
        </w:rPr>
        <w:t xml:space="preserve">look “under the hood”, things do not look all that rosy. </w:t>
      </w:r>
      <w:r w:rsidR="009C7445" w:rsidRPr="00D26852">
        <w:rPr>
          <w:sz w:val="22"/>
          <w:szCs w:val="22"/>
        </w:rPr>
        <w:t xml:space="preserve">Just seven </w:t>
      </w:r>
      <w:r w:rsidRPr="00D26852">
        <w:rPr>
          <w:sz w:val="22"/>
          <w:szCs w:val="22"/>
        </w:rPr>
        <w:t>stock market “giants”</w:t>
      </w:r>
      <w:r w:rsidR="00580C71" w:rsidRPr="00D26852">
        <w:rPr>
          <w:sz w:val="22"/>
          <w:szCs w:val="22"/>
        </w:rPr>
        <w:t xml:space="preserve"> -  </w:t>
      </w:r>
      <w:r w:rsidR="00580C71" w:rsidRPr="00D26852">
        <w:rPr>
          <w:color w:val="252525"/>
          <w:sz w:val="22"/>
          <w:szCs w:val="22"/>
        </w:rPr>
        <w:t>Apple, Microsoft, Alphabet (Google), Amazon, Tesla, Meta (Facebook), and Nvidia represent, on average, a quarter of the S&amp;P 500's market capitalization since the pandemic, and 29% as of May 31</w:t>
      </w:r>
      <w:r w:rsidR="003226FB" w:rsidRPr="00D26852">
        <w:rPr>
          <w:color w:val="252525"/>
          <w:sz w:val="22"/>
          <w:szCs w:val="22"/>
        </w:rPr>
        <w:t>. My bias towards high technology, combined with “buying low” last yea</w:t>
      </w:r>
      <w:r w:rsidR="00C612D4" w:rsidRPr="00D26852">
        <w:rPr>
          <w:color w:val="252525"/>
          <w:sz w:val="22"/>
          <w:szCs w:val="22"/>
        </w:rPr>
        <w:t xml:space="preserve">r has helped </w:t>
      </w:r>
      <w:r w:rsidR="002D7F73" w:rsidRPr="00D26852">
        <w:rPr>
          <w:color w:val="252525"/>
          <w:sz w:val="22"/>
          <w:szCs w:val="22"/>
        </w:rPr>
        <w:t>aid portfolio</w:t>
      </w:r>
      <w:r w:rsidR="00C612D4" w:rsidRPr="00D26852">
        <w:rPr>
          <w:color w:val="252525"/>
          <w:sz w:val="22"/>
          <w:szCs w:val="22"/>
        </w:rPr>
        <w:t xml:space="preserve"> performance</w:t>
      </w:r>
      <w:r w:rsidR="002D7F73" w:rsidRPr="00D26852">
        <w:rPr>
          <w:color w:val="252525"/>
          <w:sz w:val="22"/>
          <w:szCs w:val="22"/>
        </w:rPr>
        <w:t xml:space="preserve">; however, I am concerned </w:t>
      </w:r>
      <w:r w:rsidR="00FA1AE4" w:rsidRPr="00D26852">
        <w:rPr>
          <w:color w:val="252525"/>
          <w:sz w:val="22"/>
          <w:szCs w:val="22"/>
        </w:rPr>
        <w:t xml:space="preserve">that the strength is not </w:t>
      </w:r>
      <w:r w:rsidR="00996725" w:rsidRPr="00D26852">
        <w:rPr>
          <w:color w:val="252525"/>
          <w:sz w:val="22"/>
          <w:szCs w:val="22"/>
        </w:rPr>
        <w:t xml:space="preserve">market-wide which would give a better indication </w:t>
      </w:r>
      <w:r w:rsidR="00116F3A" w:rsidRPr="00D26852">
        <w:rPr>
          <w:color w:val="252525"/>
          <w:sz w:val="22"/>
          <w:szCs w:val="22"/>
        </w:rPr>
        <w:t>of U.S. economic strength</w:t>
      </w:r>
      <w:r w:rsidR="00C003EF" w:rsidRPr="00D26852">
        <w:rPr>
          <w:color w:val="252525"/>
          <w:sz w:val="22"/>
          <w:szCs w:val="22"/>
        </w:rPr>
        <w:t xml:space="preserve">. In fact, stripping out these 7 stocks – the </w:t>
      </w:r>
      <w:r w:rsidR="00F61D87" w:rsidRPr="00D26852">
        <w:rPr>
          <w:color w:val="252525"/>
          <w:sz w:val="22"/>
          <w:szCs w:val="22"/>
        </w:rPr>
        <w:t>“</w:t>
      </w:r>
      <w:r w:rsidR="00C003EF" w:rsidRPr="00D26852">
        <w:rPr>
          <w:color w:val="252525"/>
          <w:sz w:val="22"/>
          <w:szCs w:val="22"/>
        </w:rPr>
        <w:t>S&amp;P</w:t>
      </w:r>
      <w:r w:rsidR="007C5D9D" w:rsidRPr="00D26852">
        <w:rPr>
          <w:color w:val="252525"/>
          <w:sz w:val="22"/>
          <w:szCs w:val="22"/>
        </w:rPr>
        <w:t>493</w:t>
      </w:r>
      <w:r w:rsidR="00F61D87" w:rsidRPr="00D26852">
        <w:rPr>
          <w:color w:val="252525"/>
          <w:sz w:val="22"/>
          <w:szCs w:val="22"/>
        </w:rPr>
        <w:t>”</w:t>
      </w:r>
      <w:r w:rsidR="007C5D9D" w:rsidRPr="00D26852">
        <w:rPr>
          <w:color w:val="252525"/>
          <w:sz w:val="22"/>
          <w:szCs w:val="22"/>
        </w:rPr>
        <w:t xml:space="preserve"> if you will </w:t>
      </w:r>
      <w:r w:rsidR="0092198F" w:rsidRPr="00D26852">
        <w:rPr>
          <w:color w:val="252525"/>
          <w:sz w:val="22"/>
          <w:szCs w:val="22"/>
        </w:rPr>
        <w:t>–</w:t>
      </w:r>
      <w:r w:rsidR="007C5D9D" w:rsidRPr="00D26852">
        <w:rPr>
          <w:color w:val="252525"/>
          <w:sz w:val="22"/>
          <w:szCs w:val="22"/>
        </w:rPr>
        <w:t xml:space="preserve"> </w:t>
      </w:r>
      <w:r w:rsidR="0092198F" w:rsidRPr="00D26852">
        <w:rPr>
          <w:color w:val="252525"/>
          <w:sz w:val="22"/>
          <w:szCs w:val="22"/>
        </w:rPr>
        <w:t>the broader market would have been down 1.1%!</w:t>
      </w:r>
    </w:p>
    <w:p w14:paraId="10FEB64B" w14:textId="6CAD814F" w:rsidR="000F7941" w:rsidRDefault="000F7941">
      <w:pPr>
        <w:rPr>
          <w:rFonts w:ascii="Calibri" w:hAnsi="Calibri" w:cs="Calibri"/>
          <w:sz w:val="22"/>
          <w:szCs w:val="22"/>
          <w:bdr w:val="none" w:sz="0" w:space="0" w:color="auto" w:frame="1"/>
          <w:shd w:val="clear" w:color="auto" w:fill="FFFFFF"/>
        </w:rPr>
      </w:pPr>
      <w:r w:rsidRPr="00D26852">
        <w:rPr>
          <w:color w:val="252525"/>
          <w:sz w:val="22"/>
          <w:szCs w:val="22"/>
        </w:rPr>
        <w:t>In its’ June</w:t>
      </w:r>
      <w:r w:rsidR="003D0355" w:rsidRPr="00D26852">
        <w:rPr>
          <w:color w:val="252525"/>
          <w:sz w:val="22"/>
          <w:szCs w:val="22"/>
        </w:rPr>
        <w:t xml:space="preserve"> 2023 “Asset Allocation Strategy” report, National Bank Investments </w:t>
      </w:r>
      <w:r w:rsidR="00F15116">
        <w:rPr>
          <w:color w:val="252525"/>
          <w:sz w:val="22"/>
          <w:szCs w:val="22"/>
        </w:rPr>
        <w:t xml:space="preserve">(NBI) </w:t>
      </w:r>
      <w:r w:rsidR="00D26852" w:rsidRPr="00D26852">
        <w:rPr>
          <w:color w:val="252525"/>
          <w:sz w:val="22"/>
          <w:szCs w:val="22"/>
        </w:rPr>
        <w:t xml:space="preserve">points out that </w:t>
      </w:r>
      <w:r w:rsidR="00D26852">
        <w:rPr>
          <w:color w:val="252525"/>
          <w:sz w:val="22"/>
          <w:szCs w:val="22"/>
        </w:rPr>
        <w:t>“</w:t>
      </w:r>
      <w:r w:rsidRPr="000D6870">
        <w:rPr>
          <w:rFonts w:ascii="Calibri" w:hAnsi="Calibri" w:cs="Calibri"/>
          <w:sz w:val="22"/>
          <w:szCs w:val="22"/>
          <w:bdr w:val="none" w:sz="0" w:space="0" w:color="auto" w:frame="1"/>
          <w:shd w:val="clear" w:color="auto" w:fill="FFFFFF"/>
        </w:rPr>
        <w:t>To put things in perspective, these seven companies are,</w:t>
      </w:r>
      <w:r w:rsidR="000D6870">
        <w:rPr>
          <w:rFonts w:ascii="Calibri" w:hAnsi="Calibri" w:cs="Calibri"/>
          <w:sz w:val="22"/>
          <w:szCs w:val="22"/>
          <w:bdr w:val="none" w:sz="0" w:space="0" w:color="auto" w:frame="1"/>
          <w:shd w:val="clear" w:color="auto" w:fill="FFFFFF"/>
        </w:rPr>
        <w:t xml:space="preserve"> </w:t>
      </w:r>
      <w:r w:rsidRPr="000D6870">
        <w:rPr>
          <w:rFonts w:ascii="Calibri" w:hAnsi="Calibri" w:cs="Calibri"/>
          <w:sz w:val="22"/>
          <w:szCs w:val="22"/>
          <w:bdr w:val="none" w:sz="0" w:space="0" w:color="auto" w:frame="1"/>
          <w:shd w:val="clear" w:color="auto" w:fill="FFFFFF"/>
        </w:rPr>
        <w:t>therefore,</w:t>
      </w:r>
      <w:r w:rsidR="000D6870">
        <w:rPr>
          <w:rFonts w:ascii="Calibri" w:hAnsi="Calibri" w:cs="Calibri"/>
          <w:sz w:val="22"/>
          <w:szCs w:val="22"/>
          <w:bdr w:val="none" w:sz="0" w:space="0" w:color="auto" w:frame="1"/>
          <w:shd w:val="clear" w:color="auto" w:fill="FFFFFF"/>
        </w:rPr>
        <w:t xml:space="preserve"> </w:t>
      </w:r>
      <w:r w:rsidRPr="000D6870">
        <w:rPr>
          <w:rFonts w:ascii="Calibri" w:hAnsi="Calibri" w:cs="Calibri"/>
          <w:sz w:val="22"/>
          <w:szCs w:val="22"/>
          <w:bdr w:val="none" w:sz="0" w:space="0" w:color="auto" w:frame="1"/>
          <w:shd w:val="clear" w:color="auto" w:fill="FFFFFF"/>
        </w:rPr>
        <w:t>larger than the main Canadian and Emerging Markets stock indices combined</w:t>
      </w:r>
      <w:r w:rsidR="000D6870" w:rsidRPr="000D6870">
        <w:rPr>
          <w:rFonts w:ascii="Calibri" w:hAnsi="Calibri" w:cs="Calibri"/>
          <w:sz w:val="22"/>
          <w:szCs w:val="22"/>
          <w:bdr w:val="none" w:sz="0" w:space="0" w:color="auto" w:frame="1"/>
          <w:shd w:val="clear" w:color="auto" w:fill="FFFFFF"/>
        </w:rPr>
        <w:t>,</w:t>
      </w:r>
      <w:r w:rsidRPr="000D6870">
        <w:rPr>
          <w:rFonts w:ascii="Calibri" w:hAnsi="Calibri" w:cs="Calibri"/>
          <w:sz w:val="22"/>
          <w:szCs w:val="22"/>
          <w:bdr w:val="none" w:sz="0" w:space="0" w:color="auto" w:frame="1"/>
          <w:shd w:val="clear" w:color="auto" w:fill="FFFFFF"/>
        </w:rPr>
        <w:t xml:space="preserve"> while Apple alone is roughly20% bigger than the entire S&amp;P/TSX</w:t>
      </w:r>
      <w:r w:rsidR="000D6870" w:rsidRPr="000D6870">
        <w:rPr>
          <w:rFonts w:ascii="Calibri" w:hAnsi="Calibri" w:cs="Calibri"/>
          <w:sz w:val="22"/>
          <w:szCs w:val="22"/>
          <w:bdr w:val="none" w:sz="0" w:space="0" w:color="auto" w:frame="1"/>
          <w:shd w:val="clear" w:color="auto" w:fill="FFFFFF"/>
        </w:rPr>
        <w:t>”.</w:t>
      </w:r>
      <w:r w:rsidR="00CA4B51">
        <w:rPr>
          <w:rFonts w:ascii="Calibri" w:hAnsi="Calibri" w:cs="Calibri"/>
          <w:sz w:val="22"/>
          <w:szCs w:val="22"/>
          <w:bdr w:val="none" w:sz="0" w:space="0" w:color="auto" w:frame="1"/>
          <w:shd w:val="clear" w:color="auto" w:fill="FFFFFF"/>
        </w:rPr>
        <w:t xml:space="preserve"> They go on to </w:t>
      </w:r>
      <w:r w:rsidR="00EB66BD">
        <w:rPr>
          <w:rFonts w:ascii="Calibri" w:hAnsi="Calibri" w:cs="Calibri"/>
          <w:sz w:val="22"/>
          <w:szCs w:val="22"/>
          <w:bdr w:val="none" w:sz="0" w:space="0" w:color="auto" w:frame="1"/>
          <w:shd w:val="clear" w:color="auto" w:fill="FFFFFF"/>
        </w:rPr>
        <w:t>state “</w:t>
      </w:r>
      <w:r w:rsidR="00EB66BD" w:rsidRPr="00EB66BD">
        <w:rPr>
          <w:rFonts w:ascii="Calibri" w:hAnsi="Calibri" w:cs="Calibri"/>
          <w:sz w:val="22"/>
          <w:szCs w:val="22"/>
          <w:bdr w:val="none" w:sz="0" w:space="0" w:color="auto" w:frame="1"/>
          <w:shd w:val="clear" w:color="auto" w:fill="FFFFFF"/>
        </w:rPr>
        <w:t>That being said, on a technical basis, the pace at which these stocks</w:t>
      </w:r>
      <w:r w:rsidR="00517724">
        <w:rPr>
          <w:rFonts w:ascii="Calibri" w:hAnsi="Calibri" w:cs="Calibri"/>
          <w:sz w:val="22"/>
          <w:szCs w:val="22"/>
          <w:bdr w:val="none" w:sz="0" w:space="0" w:color="auto" w:frame="1"/>
          <w:shd w:val="clear" w:color="auto" w:fill="FFFFFF"/>
        </w:rPr>
        <w:t xml:space="preserve"> </w:t>
      </w:r>
      <w:r w:rsidR="00EB66BD" w:rsidRPr="00EB66BD">
        <w:rPr>
          <w:rFonts w:ascii="Calibri" w:hAnsi="Calibri" w:cs="Calibri"/>
          <w:sz w:val="22"/>
          <w:szCs w:val="22"/>
          <w:bdr w:val="none" w:sz="0" w:space="0" w:color="auto" w:frame="1"/>
          <w:shd w:val="clear" w:color="auto" w:fill="FFFFFF"/>
        </w:rPr>
        <w:t>have held up the U.S.</w:t>
      </w:r>
      <w:r w:rsidR="00B83B00">
        <w:rPr>
          <w:rFonts w:ascii="Calibri" w:hAnsi="Calibri" w:cs="Calibri"/>
          <w:sz w:val="22"/>
          <w:szCs w:val="22"/>
          <w:bdr w:val="none" w:sz="0" w:space="0" w:color="auto" w:frame="1"/>
          <w:shd w:val="clear" w:color="auto" w:fill="FFFFFF"/>
        </w:rPr>
        <w:t xml:space="preserve"> </w:t>
      </w:r>
      <w:r w:rsidR="00EB66BD" w:rsidRPr="00EB66BD">
        <w:rPr>
          <w:rFonts w:ascii="Calibri" w:hAnsi="Calibri" w:cs="Calibri"/>
          <w:sz w:val="22"/>
          <w:szCs w:val="22"/>
          <w:bdr w:val="none" w:sz="0" w:space="0" w:color="auto" w:frame="1"/>
          <w:shd w:val="clear" w:color="auto" w:fill="FFFFFF"/>
        </w:rPr>
        <w:t>stock market seems unsustainable.</w:t>
      </w:r>
      <w:r w:rsidR="00EB66BD" w:rsidRPr="00EB66BD">
        <w:rPr>
          <w:rFonts w:ascii="Calibri" w:hAnsi="Calibri" w:cs="Calibri"/>
          <w:sz w:val="22"/>
          <w:szCs w:val="22"/>
          <w:bdr w:val="none" w:sz="0" w:space="0" w:color="auto" w:frame="1"/>
          <w:shd w:val="clear" w:color="auto" w:fill="FFFFFF"/>
        </w:rPr>
        <w:t>”</w:t>
      </w:r>
      <w:r w:rsidR="00464A7B">
        <w:rPr>
          <w:rFonts w:ascii="Calibri" w:hAnsi="Calibri" w:cs="Calibri"/>
          <w:sz w:val="22"/>
          <w:szCs w:val="22"/>
          <w:bdr w:val="none" w:sz="0" w:space="0" w:color="auto" w:frame="1"/>
          <w:shd w:val="clear" w:color="auto" w:fill="FFFFFF"/>
        </w:rPr>
        <w:t xml:space="preserve"> Accordingly, N</w:t>
      </w:r>
      <w:r w:rsidR="00921BBB">
        <w:rPr>
          <w:rFonts w:ascii="Calibri" w:hAnsi="Calibri" w:cs="Calibri"/>
          <w:sz w:val="22"/>
          <w:szCs w:val="22"/>
          <w:bdr w:val="none" w:sz="0" w:space="0" w:color="auto" w:frame="1"/>
          <w:shd w:val="clear" w:color="auto" w:fill="FFFFFF"/>
        </w:rPr>
        <w:t>BI</w:t>
      </w:r>
      <w:r w:rsidR="00464A7B">
        <w:rPr>
          <w:rFonts w:ascii="Calibri" w:hAnsi="Calibri" w:cs="Calibri"/>
          <w:sz w:val="22"/>
          <w:szCs w:val="22"/>
          <w:bdr w:val="none" w:sz="0" w:space="0" w:color="auto" w:frame="1"/>
          <w:shd w:val="clear" w:color="auto" w:fill="FFFFFF"/>
        </w:rPr>
        <w:t xml:space="preserve"> has cut its</w:t>
      </w:r>
      <w:r w:rsidR="00DD1224">
        <w:rPr>
          <w:rFonts w:ascii="Calibri" w:hAnsi="Calibri" w:cs="Calibri"/>
          <w:sz w:val="22"/>
          <w:szCs w:val="22"/>
          <w:bdr w:val="none" w:sz="0" w:space="0" w:color="auto" w:frame="1"/>
          <w:shd w:val="clear" w:color="auto" w:fill="FFFFFF"/>
        </w:rPr>
        <w:t>’ equity exposure to an underweight and have overweighted cash:</w:t>
      </w:r>
    </w:p>
    <w:p w14:paraId="1E015BD3" w14:textId="5F13686E" w:rsidR="00DD1224" w:rsidRDefault="00DD1224">
      <w:pPr>
        <w:rPr>
          <w:rFonts w:ascii="Calibri" w:hAnsi="Calibri" w:cs="Calibri"/>
          <w:sz w:val="20"/>
          <w:szCs w:val="20"/>
        </w:rPr>
      </w:pPr>
      <w:r w:rsidRPr="00DD1224">
        <w:rPr>
          <w:rFonts w:ascii="Calibri" w:hAnsi="Calibri" w:cs="Calibri"/>
          <w:sz w:val="20"/>
          <w:szCs w:val="20"/>
        </w:rPr>
        <w:drawing>
          <wp:inline distT="0" distB="0" distL="0" distR="0" wp14:anchorId="069A3242" wp14:editId="6486CFD6">
            <wp:extent cx="3231160" cy="1432684"/>
            <wp:effectExtent l="0" t="0" r="7620" b="0"/>
            <wp:docPr id="213585109"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09" name="Picture 1" descr="A picture containing text, screenshot, font, number&#10;&#10;Description automatically generated"/>
                    <pic:cNvPicPr/>
                  </pic:nvPicPr>
                  <pic:blipFill>
                    <a:blip r:embed="rId4"/>
                    <a:stretch>
                      <a:fillRect/>
                    </a:stretch>
                  </pic:blipFill>
                  <pic:spPr>
                    <a:xfrm>
                      <a:off x="0" y="0"/>
                      <a:ext cx="3231160" cy="1432684"/>
                    </a:xfrm>
                    <a:prstGeom prst="rect">
                      <a:avLst/>
                    </a:prstGeom>
                  </pic:spPr>
                </pic:pic>
              </a:graphicData>
            </a:graphic>
          </wp:inline>
        </w:drawing>
      </w:r>
    </w:p>
    <w:p w14:paraId="4E061B86" w14:textId="77777777" w:rsidR="00921BBB" w:rsidRDefault="00921BBB">
      <w:pPr>
        <w:rPr>
          <w:rFonts w:ascii="Calibri" w:hAnsi="Calibri" w:cs="Calibri"/>
          <w:sz w:val="20"/>
          <w:szCs w:val="20"/>
        </w:rPr>
      </w:pPr>
    </w:p>
    <w:p w14:paraId="5E3720B6" w14:textId="387121EA" w:rsidR="00A65D70" w:rsidRDefault="00921BBB">
      <w:pPr>
        <w:rPr>
          <w:rFonts w:ascii="Calibri" w:hAnsi="Calibri" w:cs="Calibri"/>
          <w:sz w:val="20"/>
          <w:szCs w:val="20"/>
        </w:rPr>
      </w:pPr>
      <w:r>
        <w:rPr>
          <w:rFonts w:ascii="Calibri" w:hAnsi="Calibri" w:cs="Calibri"/>
          <w:sz w:val="20"/>
          <w:szCs w:val="20"/>
        </w:rPr>
        <w:t>Please note that they are not going completely to cash</w:t>
      </w:r>
      <w:r w:rsidR="00232EB2">
        <w:rPr>
          <w:rFonts w:ascii="Calibri" w:hAnsi="Calibri" w:cs="Calibri"/>
          <w:sz w:val="20"/>
          <w:szCs w:val="20"/>
        </w:rPr>
        <w:t xml:space="preserve"> which, as per my April bulletin, is never a wise idea.</w:t>
      </w:r>
      <w:r w:rsidR="00922A77">
        <w:rPr>
          <w:rFonts w:ascii="Calibri" w:hAnsi="Calibri" w:cs="Calibri"/>
          <w:sz w:val="20"/>
          <w:szCs w:val="20"/>
        </w:rPr>
        <w:t xml:space="preserve"> In fact, in their model </w:t>
      </w:r>
      <w:r w:rsidR="00A428FA">
        <w:rPr>
          <w:rFonts w:ascii="Calibri" w:hAnsi="Calibri" w:cs="Calibri"/>
          <w:sz w:val="20"/>
          <w:szCs w:val="20"/>
        </w:rPr>
        <w:t xml:space="preserve">asset allocation </w:t>
      </w:r>
      <w:r w:rsidR="0074629C">
        <w:rPr>
          <w:rFonts w:ascii="Calibri" w:hAnsi="Calibri" w:cs="Calibri"/>
          <w:sz w:val="20"/>
          <w:szCs w:val="20"/>
        </w:rPr>
        <w:t xml:space="preserve">(i.e. “balanced”) </w:t>
      </w:r>
      <w:r w:rsidR="00A428FA">
        <w:rPr>
          <w:rFonts w:ascii="Calibri" w:hAnsi="Calibri" w:cs="Calibri"/>
          <w:sz w:val="20"/>
          <w:szCs w:val="20"/>
        </w:rPr>
        <w:t xml:space="preserve">portfolio, NBI is </w:t>
      </w:r>
      <w:r w:rsidR="0076405F">
        <w:rPr>
          <w:rFonts w:ascii="Calibri" w:hAnsi="Calibri" w:cs="Calibri"/>
          <w:sz w:val="20"/>
          <w:szCs w:val="20"/>
        </w:rPr>
        <w:t xml:space="preserve">only </w:t>
      </w:r>
      <w:r w:rsidR="00A428FA">
        <w:rPr>
          <w:rFonts w:ascii="Calibri" w:hAnsi="Calibri" w:cs="Calibri"/>
          <w:sz w:val="20"/>
          <w:szCs w:val="20"/>
        </w:rPr>
        <w:t>reducing its’ equity exposure from 60% to 56%.</w:t>
      </w:r>
      <w:r w:rsidR="0076405F">
        <w:rPr>
          <w:rFonts w:ascii="Calibri" w:hAnsi="Calibri" w:cs="Calibri"/>
          <w:sz w:val="20"/>
          <w:szCs w:val="20"/>
        </w:rPr>
        <w:t xml:space="preserve"> Remember </w:t>
      </w:r>
      <w:r w:rsidR="00723624">
        <w:rPr>
          <w:rFonts w:ascii="Calibri" w:hAnsi="Calibri" w:cs="Calibri"/>
          <w:sz w:val="20"/>
          <w:szCs w:val="20"/>
        </w:rPr>
        <w:t>–</w:t>
      </w:r>
      <w:r w:rsidR="0076405F">
        <w:rPr>
          <w:rFonts w:ascii="Calibri" w:hAnsi="Calibri" w:cs="Calibri"/>
          <w:sz w:val="20"/>
          <w:szCs w:val="20"/>
        </w:rPr>
        <w:t xml:space="preserve"> </w:t>
      </w:r>
      <w:r w:rsidR="00723624">
        <w:rPr>
          <w:rFonts w:ascii="Calibri" w:hAnsi="Calibri" w:cs="Calibri"/>
          <w:sz w:val="20"/>
          <w:szCs w:val="20"/>
        </w:rPr>
        <w:t>long-term, equities have always outperformed GICs and bonds</w:t>
      </w:r>
      <w:r w:rsidR="00BB581E">
        <w:rPr>
          <w:rFonts w:ascii="Calibri" w:hAnsi="Calibri" w:cs="Calibri"/>
          <w:sz w:val="20"/>
          <w:szCs w:val="20"/>
        </w:rPr>
        <w:t xml:space="preserve">; this reduction in equity exposure is just a short-term reaction to what NBI feels are overvalued </w:t>
      </w:r>
      <w:r w:rsidR="00EE5B43">
        <w:rPr>
          <w:rFonts w:ascii="Calibri" w:hAnsi="Calibri" w:cs="Calibri"/>
          <w:sz w:val="20"/>
          <w:szCs w:val="20"/>
        </w:rPr>
        <w:t xml:space="preserve">stock </w:t>
      </w:r>
      <w:r w:rsidR="00BB581E">
        <w:rPr>
          <w:rFonts w:ascii="Calibri" w:hAnsi="Calibri" w:cs="Calibri"/>
          <w:sz w:val="20"/>
          <w:szCs w:val="20"/>
        </w:rPr>
        <w:t>markets.</w:t>
      </w:r>
      <w:r w:rsidR="009B7B3E">
        <w:rPr>
          <w:rFonts w:ascii="Calibri" w:hAnsi="Calibri" w:cs="Calibri"/>
          <w:sz w:val="20"/>
          <w:szCs w:val="20"/>
        </w:rPr>
        <w:t xml:space="preserve"> Like us, they want to have cash available to invest if and when the stock markets </w:t>
      </w:r>
      <w:r w:rsidR="00775B0A">
        <w:rPr>
          <w:rFonts w:ascii="Calibri" w:hAnsi="Calibri" w:cs="Calibri"/>
          <w:sz w:val="20"/>
          <w:szCs w:val="20"/>
        </w:rPr>
        <w:t>go down.</w:t>
      </w:r>
    </w:p>
    <w:p w14:paraId="7D90FA45" w14:textId="554F09F7" w:rsidR="00A65D70" w:rsidRDefault="00232EB2">
      <w:pPr>
        <w:rPr>
          <w:rFonts w:ascii="Calibri" w:hAnsi="Calibri" w:cs="Calibri"/>
          <w:sz w:val="22"/>
          <w:szCs w:val="22"/>
          <w:shd w:val="clear" w:color="auto" w:fill="FFFFFF"/>
        </w:rPr>
      </w:pPr>
      <w:r>
        <w:rPr>
          <w:rFonts w:ascii="Calibri" w:hAnsi="Calibri" w:cs="Calibri"/>
          <w:sz w:val="22"/>
          <w:szCs w:val="22"/>
        </w:rPr>
        <w:t>Speaking of which, i</w:t>
      </w:r>
      <w:r w:rsidR="00A65D70" w:rsidRPr="0064338B">
        <w:rPr>
          <w:rFonts w:ascii="Calibri" w:hAnsi="Calibri" w:cs="Calibri"/>
          <w:sz w:val="22"/>
          <w:szCs w:val="22"/>
        </w:rPr>
        <w:t xml:space="preserve">n </w:t>
      </w:r>
      <w:r>
        <w:rPr>
          <w:rFonts w:ascii="Calibri" w:hAnsi="Calibri" w:cs="Calibri"/>
          <w:sz w:val="22"/>
          <w:szCs w:val="22"/>
        </w:rPr>
        <w:t>that</w:t>
      </w:r>
      <w:r w:rsidR="00A65D70" w:rsidRPr="0064338B">
        <w:rPr>
          <w:rFonts w:ascii="Calibri" w:hAnsi="Calibri" w:cs="Calibri"/>
          <w:sz w:val="22"/>
          <w:szCs w:val="22"/>
        </w:rPr>
        <w:t xml:space="preserve"> April bulletin “</w:t>
      </w:r>
      <w:r w:rsidR="00A65D70">
        <w:rPr>
          <w:rFonts w:ascii="Segoe UI" w:hAnsi="Segoe UI" w:cs="Segoe UI"/>
          <w:b/>
          <w:bCs/>
          <w:color w:val="424242"/>
          <w:shd w:val="clear" w:color="auto" w:fill="FFFFFF"/>
        </w:rPr>
        <w:t>Market Performance &amp; Why I Am Recommending Maintaining Our Cash Positions - For Now</w:t>
      </w:r>
      <w:r w:rsidR="00A65D70">
        <w:rPr>
          <w:rFonts w:ascii="Calibri" w:hAnsi="Calibri" w:cs="Calibri"/>
          <w:sz w:val="20"/>
          <w:szCs w:val="20"/>
        </w:rPr>
        <w:t>”</w:t>
      </w:r>
      <w:r w:rsidR="001075EB">
        <w:rPr>
          <w:rFonts w:ascii="Calibri" w:hAnsi="Calibri" w:cs="Calibri"/>
          <w:sz w:val="20"/>
          <w:szCs w:val="20"/>
        </w:rPr>
        <w:t xml:space="preserve">, </w:t>
      </w:r>
      <w:r w:rsidR="001075EB" w:rsidRPr="0064338B">
        <w:rPr>
          <w:rFonts w:ascii="Calibri" w:hAnsi="Calibri" w:cs="Calibri"/>
          <w:sz w:val="22"/>
          <w:szCs w:val="22"/>
        </w:rPr>
        <w:t xml:space="preserve">I advised “keeping </w:t>
      </w:r>
      <w:r w:rsidR="00784C15" w:rsidRPr="0064338B">
        <w:rPr>
          <w:rFonts w:ascii="Calibri" w:hAnsi="Calibri" w:cs="Calibri"/>
          <w:sz w:val="22"/>
          <w:szCs w:val="22"/>
        </w:rPr>
        <w:t xml:space="preserve">the rest of </w:t>
      </w:r>
      <w:r w:rsidR="001075EB" w:rsidRPr="0064338B">
        <w:rPr>
          <w:rFonts w:ascii="Calibri" w:hAnsi="Calibri" w:cs="Calibri"/>
          <w:sz w:val="22"/>
          <w:szCs w:val="22"/>
        </w:rPr>
        <w:t xml:space="preserve">our powder </w:t>
      </w:r>
      <w:r w:rsidR="00784C15" w:rsidRPr="0064338B">
        <w:rPr>
          <w:rFonts w:ascii="Calibri" w:hAnsi="Calibri" w:cs="Calibri"/>
          <w:sz w:val="22"/>
          <w:szCs w:val="22"/>
        </w:rPr>
        <w:t xml:space="preserve">(i.e. </w:t>
      </w:r>
      <w:r w:rsidR="0064338B" w:rsidRPr="0064338B">
        <w:rPr>
          <w:rFonts w:ascii="Calibri" w:hAnsi="Calibri" w:cs="Calibri"/>
          <w:sz w:val="22"/>
          <w:szCs w:val="22"/>
        </w:rPr>
        <w:t xml:space="preserve">cash balances) </w:t>
      </w:r>
      <w:r w:rsidR="001075EB" w:rsidRPr="0064338B">
        <w:rPr>
          <w:rFonts w:ascii="Calibri" w:hAnsi="Calibri" w:cs="Calibri"/>
          <w:sz w:val="22"/>
          <w:szCs w:val="22"/>
        </w:rPr>
        <w:t>dry”</w:t>
      </w:r>
      <w:r w:rsidR="00B5782C">
        <w:rPr>
          <w:rFonts w:ascii="Calibri" w:hAnsi="Calibri" w:cs="Calibri"/>
          <w:sz w:val="22"/>
          <w:szCs w:val="22"/>
        </w:rPr>
        <w:t xml:space="preserve">. You are currently earning 4.35% on </w:t>
      </w:r>
      <w:r w:rsidR="00A13058">
        <w:rPr>
          <w:rFonts w:ascii="Calibri" w:hAnsi="Calibri" w:cs="Calibri"/>
          <w:sz w:val="22"/>
          <w:szCs w:val="22"/>
        </w:rPr>
        <w:t>Trust Investment Savings</w:t>
      </w:r>
      <w:r w:rsidR="00AE63C9">
        <w:rPr>
          <w:rFonts w:ascii="Calibri" w:hAnsi="Calibri" w:cs="Calibri"/>
          <w:sz w:val="22"/>
          <w:szCs w:val="22"/>
        </w:rPr>
        <w:t xml:space="preserve">, so you are earning a decent return </w:t>
      </w:r>
      <w:r w:rsidR="00516927">
        <w:rPr>
          <w:rFonts w:ascii="Calibri" w:hAnsi="Calibri" w:cs="Calibri"/>
          <w:sz w:val="22"/>
          <w:szCs w:val="22"/>
        </w:rPr>
        <w:t xml:space="preserve">while waiting for </w:t>
      </w:r>
      <w:r w:rsidR="0095338E">
        <w:rPr>
          <w:rFonts w:ascii="Calibri" w:hAnsi="Calibri" w:cs="Calibri"/>
          <w:sz w:val="22"/>
          <w:szCs w:val="22"/>
        </w:rPr>
        <w:t>v</w:t>
      </w:r>
      <w:r w:rsidR="00516927">
        <w:rPr>
          <w:rFonts w:ascii="Calibri" w:hAnsi="Calibri" w:cs="Calibri"/>
          <w:sz w:val="22"/>
          <w:szCs w:val="22"/>
        </w:rPr>
        <w:t xml:space="preserve">aluations to improve and </w:t>
      </w:r>
      <w:r w:rsidR="0095338E">
        <w:rPr>
          <w:rFonts w:ascii="Calibri" w:hAnsi="Calibri" w:cs="Calibri"/>
          <w:sz w:val="22"/>
          <w:szCs w:val="22"/>
        </w:rPr>
        <w:t xml:space="preserve">thus better </w:t>
      </w:r>
      <w:r w:rsidR="00516927">
        <w:rPr>
          <w:rFonts w:ascii="Calibri" w:hAnsi="Calibri" w:cs="Calibri"/>
          <w:sz w:val="22"/>
          <w:szCs w:val="22"/>
        </w:rPr>
        <w:t>opportunities to present themselves.</w:t>
      </w:r>
      <w:r w:rsidR="00573325">
        <w:rPr>
          <w:rFonts w:ascii="Calibri" w:hAnsi="Calibri" w:cs="Calibri"/>
          <w:sz w:val="22"/>
          <w:szCs w:val="22"/>
        </w:rPr>
        <w:t xml:space="preserve"> In terms of valuations</w:t>
      </w:r>
      <w:r w:rsidR="001A1835">
        <w:rPr>
          <w:rFonts w:ascii="Calibri" w:hAnsi="Calibri" w:cs="Calibri"/>
          <w:sz w:val="22"/>
          <w:szCs w:val="22"/>
        </w:rPr>
        <w:t xml:space="preserve">, </w:t>
      </w:r>
      <w:r w:rsidR="001A1835">
        <w:rPr>
          <w:rFonts w:ascii="Calibri" w:hAnsi="Calibri" w:cs="Calibri"/>
          <w:sz w:val="22"/>
          <w:szCs w:val="22"/>
        </w:rPr>
        <w:lastRenderedPageBreak/>
        <w:t>NBI, feels “</w:t>
      </w:r>
      <w:r w:rsidR="001A1835" w:rsidRPr="008A7E17">
        <w:rPr>
          <w:rFonts w:ascii="Calibri" w:hAnsi="Calibri" w:cs="Calibri"/>
          <w:sz w:val="22"/>
          <w:szCs w:val="22"/>
          <w:bdr w:val="none" w:sz="0" w:space="0" w:color="auto" w:frame="1"/>
          <w:shd w:val="clear" w:color="auto" w:fill="FFFFFF"/>
        </w:rPr>
        <w:t>these giants can hardly be called "cheap" when the value proposition relative to the bond market is at its worst since we've had earnings data for the Nasdaq 100, and since July</w:t>
      </w:r>
      <w:r w:rsidR="008A7E17" w:rsidRPr="008A7E17">
        <w:rPr>
          <w:rFonts w:ascii="Calibri" w:hAnsi="Calibri" w:cs="Calibri"/>
          <w:sz w:val="22"/>
          <w:szCs w:val="22"/>
          <w:bdr w:val="none" w:sz="0" w:space="0" w:color="auto" w:frame="1"/>
          <w:shd w:val="clear" w:color="auto" w:fill="FFFFFF"/>
        </w:rPr>
        <w:t xml:space="preserve"> </w:t>
      </w:r>
      <w:r w:rsidR="008A7E17" w:rsidRPr="008A7E17">
        <w:rPr>
          <w:rFonts w:ascii="Calibri" w:hAnsi="Calibri" w:cs="Calibri"/>
          <w:sz w:val="22"/>
          <w:szCs w:val="22"/>
          <w:shd w:val="clear" w:color="auto" w:fill="FFFFFF"/>
        </w:rPr>
        <w:t>2007 for the S&amp;P 500</w:t>
      </w:r>
      <w:r w:rsidR="008A7E17" w:rsidRPr="008A7E17">
        <w:rPr>
          <w:rFonts w:ascii="Calibri" w:hAnsi="Calibri" w:cs="Calibri"/>
          <w:sz w:val="22"/>
          <w:szCs w:val="22"/>
          <w:shd w:val="clear" w:color="auto" w:fill="FFFFFF"/>
        </w:rPr>
        <w:t>”.</w:t>
      </w:r>
      <w:r w:rsidR="00D1681B">
        <w:rPr>
          <w:rFonts w:ascii="Calibri" w:hAnsi="Calibri" w:cs="Calibri"/>
          <w:sz w:val="22"/>
          <w:szCs w:val="22"/>
          <w:shd w:val="clear" w:color="auto" w:fill="FFFFFF"/>
        </w:rPr>
        <w:t xml:space="preserve"> Not a great </w:t>
      </w:r>
      <w:r w:rsidR="0052609F">
        <w:rPr>
          <w:rFonts w:ascii="Calibri" w:hAnsi="Calibri" w:cs="Calibri"/>
          <w:sz w:val="22"/>
          <w:szCs w:val="22"/>
          <w:shd w:val="clear" w:color="auto" w:fill="FFFFFF"/>
        </w:rPr>
        <w:t>sentiment</w:t>
      </w:r>
      <w:r w:rsidR="00174AC4">
        <w:rPr>
          <w:rFonts w:ascii="Calibri" w:hAnsi="Calibri" w:cs="Calibri"/>
          <w:sz w:val="22"/>
          <w:szCs w:val="22"/>
          <w:shd w:val="clear" w:color="auto" w:fill="FFFFFF"/>
        </w:rPr>
        <w:t xml:space="preserve">; however, if negative volatility does present itself, remember </w:t>
      </w:r>
      <w:r w:rsidR="00F15116">
        <w:rPr>
          <w:rFonts w:ascii="Calibri" w:hAnsi="Calibri" w:cs="Calibri"/>
          <w:sz w:val="22"/>
          <w:szCs w:val="22"/>
          <w:shd w:val="clear" w:color="auto" w:fill="FFFFFF"/>
        </w:rPr>
        <w:t>that we have always done well in the past by “buying low”.</w:t>
      </w:r>
    </w:p>
    <w:p w14:paraId="0D78A1E5" w14:textId="77777777" w:rsidR="00775B0A" w:rsidRDefault="00775B0A">
      <w:pPr>
        <w:rPr>
          <w:rFonts w:ascii="Calibri" w:hAnsi="Calibri" w:cs="Calibri"/>
          <w:sz w:val="22"/>
          <w:szCs w:val="22"/>
          <w:shd w:val="clear" w:color="auto" w:fill="FFFFFF"/>
        </w:rPr>
      </w:pPr>
    </w:p>
    <w:p w14:paraId="392F5A3B" w14:textId="2CC7E0BD" w:rsidR="00775B0A" w:rsidRDefault="004616A5">
      <w:pPr>
        <w:rPr>
          <w:rFonts w:ascii="Calibri" w:hAnsi="Calibri" w:cs="Calibri"/>
          <w:sz w:val="22"/>
          <w:szCs w:val="22"/>
          <w:shd w:val="clear" w:color="auto" w:fill="FFFFFF"/>
        </w:rPr>
      </w:pPr>
      <w:r w:rsidRPr="00624386">
        <w:rPr>
          <w:rFonts w:ascii="Calibri" w:hAnsi="Calibri" w:cs="Calibri"/>
          <w:sz w:val="22"/>
          <w:szCs w:val="22"/>
          <w:highlight w:val="yellow"/>
          <w:shd w:val="clear" w:color="auto" w:fill="FFFFFF"/>
        </w:rPr>
        <w:t>REMINDER: Manulife Bank is paying a</w:t>
      </w:r>
      <w:r w:rsidR="00121721" w:rsidRPr="00624386">
        <w:rPr>
          <w:rFonts w:ascii="Calibri" w:hAnsi="Calibri" w:cs="Calibri"/>
          <w:sz w:val="22"/>
          <w:szCs w:val="22"/>
          <w:highlight w:val="yellow"/>
          <w:shd w:val="clear" w:color="auto" w:fill="FFFFFF"/>
        </w:rPr>
        <w:t xml:space="preserve"> temporary </w:t>
      </w:r>
      <w:r w:rsidRPr="00624386">
        <w:rPr>
          <w:rFonts w:ascii="Calibri" w:hAnsi="Calibri" w:cs="Calibri"/>
          <w:sz w:val="22"/>
          <w:szCs w:val="22"/>
          <w:highlight w:val="yellow"/>
          <w:shd w:val="clear" w:color="auto" w:fill="FFFFFF"/>
        </w:rPr>
        <w:t xml:space="preserve">introductory rate of 5% on their savings &amp; </w:t>
      </w:r>
      <w:proofErr w:type="spellStart"/>
      <w:r w:rsidRPr="00624386">
        <w:rPr>
          <w:rFonts w:ascii="Calibri" w:hAnsi="Calibri" w:cs="Calibri"/>
          <w:sz w:val="22"/>
          <w:szCs w:val="22"/>
          <w:highlight w:val="yellow"/>
          <w:shd w:val="clear" w:color="auto" w:fill="FFFFFF"/>
        </w:rPr>
        <w:t>chequing</w:t>
      </w:r>
      <w:proofErr w:type="spellEnd"/>
      <w:r w:rsidRPr="00624386">
        <w:rPr>
          <w:rFonts w:ascii="Calibri" w:hAnsi="Calibri" w:cs="Calibri"/>
          <w:sz w:val="22"/>
          <w:szCs w:val="22"/>
          <w:highlight w:val="yellow"/>
          <w:shd w:val="clear" w:color="auto" w:fill="FFFFFF"/>
        </w:rPr>
        <w:t xml:space="preserve"> “Advantage” account</w:t>
      </w:r>
      <w:r w:rsidR="00121721" w:rsidRPr="00624386">
        <w:rPr>
          <w:rFonts w:ascii="Calibri" w:hAnsi="Calibri" w:cs="Calibri"/>
          <w:sz w:val="22"/>
          <w:szCs w:val="22"/>
          <w:highlight w:val="yellow"/>
          <w:shd w:val="clear" w:color="auto" w:fill="FFFFFF"/>
        </w:rPr>
        <w:t xml:space="preserve"> to new Advantage </w:t>
      </w:r>
      <w:r w:rsidR="00624386" w:rsidRPr="00624386">
        <w:rPr>
          <w:rFonts w:ascii="Calibri" w:hAnsi="Calibri" w:cs="Calibri"/>
          <w:sz w:val="22"/>
          <w:szCs w:val="22"/>
          <w:highlight w:val="yellow"/>
          <w:shd w:val="clear" w:color="auto" w:fill="FFFFFF"/>
        </w:rPr>
        <w:t xml:space="preserve">account </w:t>
      </w:r>
      <w:r w:rsidR="00121721" w:rsidRPr="00624386">
        <w:rPr>
          <w:rFonts w:ascii="Calibri" w:hAnsi="Calibri" w:cs="Calibri"/>
          <w:sz w:val="22"/>
          <w:szCs w:val="22"/>
          <w:highlight w:val="yellow"/>
          <w:shd w:val="clear" w:color="auto" w:fill="FFFFFF"/>
        </w:rPr>
        <w:t>clients</w:t>
      </w:r>
      <w:r w:rsidR="00E43A1B" w:rsidRPr="00624386">
        <w:rPr>
          <w:rFonts w:ascii="Calibri" w:hAnsi="Calibri" w:cs="Calibri"/>
          <w:sz w:val="22"/>
          <w:szCs w:val="22"/>
          <w:highlight w:val="yellow"/>
          <w:shd w:val="clear" w:color="auto" w:fill="FFFFFF"/>
        </w:rPr>
        <w:t>.</w:t>
      </w:r>
      <w:r w:rsidR="00E43A1B">
        <w:rPr>
          <w:rFonts w:ascii="Calibri" w:hAnsi="Calibri" w:cs="Calibri"/>
          <w:sz w:val="22"/>
          <w:szCs w:val="22"/>
          <w:shd w:val="clear" w:color="auto" w:fill="FFFFFF"/>
        </w:rPr>
        <w:t xml:space="preserve"> As this product falls under the insurance-side of my business, the original </w:t>
      </w:r>
      <w:r w:rsidR="00430703">
        <w:rPr>
          <w:rFonts w:ascii="Calibri" w:hAnsi="Calibri" w:cs="Calibri"/>
          <w:sz w:val="22"/>
          <w:szCs w:val="22"/>
          <w:shd w:val="clear" w:color="auto" w:fill="FFFFFF"/>
        </w:rPr>
        <w:t>email notification was sent from my Trinity Holistic Wealth email address (</w:t>
      </w:r>
      <w:hyperlink r:id="rId5" w:history="1">
        <w:r w:rsidR="009249F6" w:rsidRPr="00E5398B">
          <w:rPr>
            <w:rStyle w:val="Hyperlink"/>
            <w:rFonts w:ascii="Calibri" w:hAnsi="Calibri" w:cs="Calibri"/>
            <w:sz w:val="22"/>
            <w:szCs w:val="22"/>
            <w:shd w:val="clear" w:color="auto" w:fill="FFFFFF"/>
          </w:rPr>
          <w:t>swigle@trinityholisticwealth.com</w:t>
        </w:r>
      </w:hyperlink>
      <w:r w:rsidR="00430703">
        <w:rPr>
          <w:rFonts w:ascii="Calibri" w:hAnsi="Calibri" w:cs="Calibri"/>
          <w:sz w:val="22"/>
          <w:szCs w:val="22"/>
          <w:shd w:val="clear" w:color="auto" w:fill="FFFFFF"/>
        </w:rPr>
        <w:t>)</w:t>
      </w:r>
      <w:r w:rsidR="00512874">
        <w:rPr>
          <w:rFonts w:ascii="Calibri" w:hAnsi="Calibri" w:cs="Calibri"/>
          <w:sz w:val="22"/>
          <w:szCs w:val="22"/>
          <w:shd w:val="clear" w:color="auto" w:fill="FFFFFF"/>
        </w:rPr>
        <w:t xml:space="preserve"> on Tuesday, June 6th</w:t>
      </w:r>
      <w:r w:rsidR="009249F6">
        <w:rPr>
          <w:rFonts w:ascii="Calibri" w:hAnsi="Calibri" w:cs="Calibri"/>
          <w:sz w:val="22"/>
          <w:szCs w:val="22"/>
          <w:shd w:val="clear" w:color="auto" w:fill="FFFFFF"/>
        </w:rPr>
        <w:t>. If your email does not recognize that email address, you might find the notification in your SPAM folder</w:t>
      </w:r>
      <w:r w:rsidR="004153BD">
        <w:rPr>
          <w:rFonts w:ascii="Calibri" w:hAnsi="Calibri" w:cs="Calibri"/>
          <w:sz w:val="22"/>
          <w:szCs w:val="22"/>
          <w:shd w:val="clear" w:color="auto" w:fill="FFFFFF"/>
        </w:rPr>
        <w:t xml:space="preserve">; if so, please flag that address as a trusted </w:t>
      </w:r>
      <w:r w:rsidR="008366FB">
        <w:rPr>
          <w:rFonts w:ascii="Calibri" w:hAnsi="Calibri" w:cs="Calibri"/>
          <w:sz w:val="22"/>
          <w:szCs w:val="22"/>
          <w:shd w:val="clear" w:color="auto" w:fill="FFFFFF"/>
        </w:rPr>
        <w:t>sender so that you are kept up-to-date on news from that side of my business.</w:t>
      </w:r>
    </w:p>
    <w:p w14:paraId="6A03C030" w14:textId="77777777" w:rsidR="00624386" w:rsidRDefault="00624386">
      <w:pPr>
        <w:rPr>
          <w:rFonts w:ascii="Calibri" w:hAnsi="Calibri" w:cs="Calibri"/>
          <w:sz w:val="22"/>
          <w:szCs w:val="22"/>
          <w:shd w:val="clear" w:color="auto" w:fill="FFFFFF"/>
        </w:rPr>
      </w:pPr>
    </w:p>
    <w:p w14:paraId="2E808FAC" w14:textId="28F739C8" w:rsidR="00624386" w:rsidRDefault="00624386">
      <w:pPr>
        <w:rPr>
          <w:rFonts w:ascii="Calibri" w:hAnsi="Calibri" w:cs="Calibri"/>
          <w:sz w:val="22"/>
          <w:szCs w:val="22"/>
          <w:shd w:val="clear" w:color="auto" w:fill="FFFFFF"/>
        </w:rPr>
      </w:pPr>
      <w:r>
        <w:rPr>
          <w:rFonts w:ascii="Calibri" w:hAnsi="Calibri" w:cs="Calibri"/>
          <w:sz w:val="22"/>
          <w:szCs w:val="22"/>
          <w:shd w:val="clear" w:color="auto" w:fill="FFFFFF"/>
        </w:rPr>
        <w:t>Have a great weekend.</w:t>
      </w:r>
    </w:p>
    <w:p w14:paraId="07DA898A" w14:textId="77777777" w:rsidR="00624386" w:rsidRDefault="00624386">
      <w:pPr>
        <w:rPr>
          <w:rFonts w:ascii="Calibri" w:hAnsi="Calibri" w:cs="Calibri"/>
          <w:sz w:val="22"/>
          <w:szCs w:val="22"/>
          <w:shd w:val="clear" w:color="auto" w:fill="FFFFFF"/>
        </w:rPr>
      </w:pPr>
    </w:p>
    <w:p w14:paraId="263F1F7F" w14:textId="7D7686F8" w:rsidR="00624386" w:rsidRDefault="00624386">
      <w:pPr>
        <w:rPr>
          <w:rFonts w:ascii="Calibri" w:hAnsi="Calibri" w:cs="Calibri"/>
          <w:sz w:val="22"/>
          <w:szCs w:val="22"/>
          <w:shd w:val="clear" w:color="auto" w:fill="FFFFFF"/>
        </w:rPr>
      </w:pPr>
      <w:r>
        <w:rPr>
          <w:rFonts w:ascii="Calibri" w:hAnsi="Calibri" w:cs="Calibri"/>
          <w:sz w:val="22"/>
          <w:szCs w:val="22"/>
          <w:shd w:val="clear" w:color="auto" w:fill="FFFFFF"/>
        </w:rPr>
        <w:t>Regards,</w:t>
      </w:r>
    </w:p>
    <w:p w14:paraId="68FE2AA3" w14:textId="77777777" w:rsidR="00624386" w:rsidRDefault="00624386">
      <w:pPr>
        <w:rPr>
          <w:rFonts w:ascii="Calibri" w:hAnsi="Calibri" w:cs="Calibri"/>
          <w:sz w:val="22"/>
          <w:szCs w:val="22"/>
          <w:shd w:val="clear" w:color="auto" w:fill="FFFFFF"/>
        </w:rPr>
      </w:pPr>
    </w:p>
    <w:p w14:paraId="27BEDCA2" w14:textId="77777777" w:rsidR="00B041A3" w:rsidRPr="00606DD1" w:rsidRDefault="00B041A3" w:rsidP="00B041A3">
      <w:pPr>
        <w:spacing w:after="0" w:line="240" w:lineRule="auto"/>
        <w:textAlignment w:val="baseline"/>
        <w:rPr>
          <w:rFonts w:ascii="Calibri" w:eastAsia="Times New Roman" w:hAnsi="Calibri" w:cs="Calibri"/>
          <w:color w:val="000000"/>
          <w:sz w:val="24"/>
          <w:szCs w:val="24"/>
          <w:lang w:eastAsia="en-CA"/>
        </w:rPr>
      </w:pPr>
      <w:r w:rsidRPr="00DF5790">
        <w:rPr>
          <w:rFonts w:ascii="Lucida Handwriting" w:eastAsia="Times New Roman" w:hAnsi="Lucida Handwriting" w:cs="Calibri"/>
          <w:i/>
          <w:iCs/>
          <w:color w:val="2E74B5" w:themeColor="accent5" w:themeShade="BF"/>
          <w:sz w:val="24"/>
          <w:szCs w:val="24"/>
          <w:bdr w:val="none" w:sz="0" w:space="0" w:color="auto" w:frame="1"/>
          <w:shd w:val="clear" w:color="auto" w:fill="FFFFFF"/>
          <w:lang w:eastAsia="en-CA"/>
        </w:rPr>
        <w:t xml:space="preserve">Sharon E. </w:t>
      </w:r>
      <w:proofErr w:type="spellStart"/>
      <w:r w:rsidRPr="00DF5790">
        <w:rPr>
          <w:rFonts w:ascii="Lucida Handwriting" w:eastAsia="Times New Roman" w:hAnsi="Lucida Handwriting" w:cs="Calibri"/>
          <w:i/>
          <w:iCs/>
          <w:color w:val="2E74B5" w:themeColor="accent5" w:themeShade="BF"/>
          <w:sz w:val="24"/>
          <w:szCs w:val="24"/>
          <w:bdr w:val="none" w:sz="0" w:space="0" w:color="auto" w:frame="1"/>
          <w:shd w:val="clear" w:color="auto" w:fill="FFFFFF"/>
          <w:lang w:eastAsia="en-CA"/>
        </w:rPr>
        <w:t>Wigl</w:t>
      </w:r>
      <w:proofErr w:type="spellEnd"/>
      <w:r w:rsidRPr="00DF5790">
        <w:rPr>
          <w:rFonts w:ascii="Times New Roman" w:eastAsia="Times New Roman" w:hAnsi="Times New Roman" w:cs="Times New Roman"/>
          <w:i/>
          <w:iCs/>
          <w:color w:val="2E74B5" w:themeColor="accent5" w:themeShade="BF"/>
          <w:sz w:val="24"/>
          <w:szCs w:val="24"/>
          <w:bdr w:val="none" w:sz="0" w:space="0" w:color="auto" w:frame="1"/>
          <w:shd w:val="clear" w:color="auto" w:fill="FFFFFF"/>
          <w:lang w:eastAsia="en-CA"/>
        </w:rPr>
        <w:t>​</w:t>
      </w:r>
      <w:r w:rsidRPr="00DF5790">
        <w:rPr>
          <w:rFonts w:ascii="Lucida Handwriting" w:eastAsia="Times New Roman" w:hAnsi="Lucida Handwriting" w:cs="Calibri"/>
          <w:i/>
          <w:iCs/>
          <w:color w:val="2E74B5" w:themeColor="accent5" w:themeShade="BF"/>
          <w:sz w:val="24"/>
          <w:szCs w:val="24"/>
          <w:bdr w:val="none" w:sz="0" w:space="0" w:color="auto" w:frame="1"/>
          <w:shd w:val="clear" w:color="auto" w:fill="FFFFFF"/>
          <w:lang w:eastAsia="en-CA"/>
        </w:rPr>
        <w:t>e</w:t>
      </w:r>
      <w:r w:rsidRPr="00606DD1">
        <w:rPr>
          <w:rFonts w:ascii="inherit" w:eastAsia="Times New Roman" w:hAnsi="inherit" w:cs="Calibri"/>
          <w:color w:val="000000"/>
          <w:sz w:val="24"/>
          <w:szCs w:val="24"/>
          <w:bdr w:val="none" w:sz="0" w:space="0" w:color="auto" w:frame="1"/>
          <w:shd w:val="clear" w:color="auto" w:fill="FFFFFF"/>
          <w:lang w:eastAsia="en-CA"/>
        </w:rPr>
        <w:t>, CFA</w:t>
      </w:r>
    </w:p>
    <w:p w14:paraId="6022F769" w14:textId="77777777" w:rsidR="00B041A3" w:rsidRPr="00606DD1" w:rsidRDefault="00B041A3" w:rsidP="00B041A3">
      <w:pPr>
        <w:shd w:val="clear" w:color="auto" w:fill="FFFFFF"/>
        <w:spacing w:after="0" w:line="300" w:lineRule="atLeast"/>
        <w:textAlignment w:val="baseline"/>
        <w:rPr>
          <w:rFonts w:ascii="Calibri" w:eastAsia="Times New Roman" w:hAnsi="Calibri" w:cs="Calibri"/>
          <w:color w:val="000000"/>
          <w:lang w:eastAsia="en-CA"/>
        </w:rPr>
      </w:pPr>
      <w:r w:rsidRPr="00606DD1">
        <w:rPr>
          <w:rFonts w:ascii="Arial" w:eastAsia="Times New Roman" w:hAnsi="Arial" w:cs="Arial"/>
          <w:color w:val="222222"/>
          <w:sz w:val="20"/>
          <w:szCs w:val="20"/>
          <w:bdr w:val="none" w:sz="0" w:space="0" w:color="auto" w:frame="1"/>
          <w:lang w:eastAsia="en-CA"/>
        </w:rPr>
        <w:t>Investment Advisor</w:t>
      </w:r>
    </w:p>
    <w:p w14:paraId="387A58B4" w14:textId="77777777" w:rsidR="00B041A3" w:rsidRPr="00606DD1" w:rsidRDefault="00B041A3" w:rsidP="00B041A3">
      <w:pPr>
        <w:shd w:val="clear" w:color="auto" w:fill="FFFFFF"/>
        <w:spacing w:after="0" w:line="300" w:lineRule="atLeast"/>
        <w:textAlignment w:val="baseline"/>
        <w:rPr>
          <w:rFonts w:ascii="Calibri" w:eastAsia="Times New Roman" w:hAnsi="Calibri" w:cs="Calibri"/>
          <w:color w:val="000000"/>
          <w:lang w:eastAsia="en-CA"/>
        </w:rPr>
      </w:pPr>
      <w:r w:rsidRPr="00606DD1">
        <w:rPr>
          <w:rFonts w:ascii="Arial" w:eastAsia="Times New Roman" w:hAnsi="Arial" w:cs="Arial"/>
          <w:color w:val="222222"/>
          <w:sz w:val="20"/>
          <w:szCs w:val="20"/>
          <w:bdr w:val="none" w:sz="0" w:space="0" w:color="auto" w:frame="1"/>
          <w:lang w:eastAsia="en-CA"/>
        </w:rPr>
        <w:t>Trinity Holistic Wealth/ Designed Securities Ltd.</w:t>
      </w:r>
    </w:p>
    <w:p w14:paraId="48A9B7E6" w14:textId="77777777" w:rsidR="00B041A3" w:rsidRPr="00606DD1" w:rsidRDefault="00B041A3" w:rsidP="00B041A3">
      <w:pPr>
        <w:shd w:val="clear" w:color="auto" w:fill="FFFFFF"/>
        <w:spacing w:after="0" w:line="300" w:lineRule="atLeast"/>
        <w:textAlignment w:val="baseline"/>
        <w:rPr>
          <w:rFonts w:ascii="Calibri" w:eastAsia="Times New Roman" w:hAnsi="Calibri" w:cs="Calibri"/>
          <w:color w:val="000000"/>
          <w:lang w:eastAsia="en-CA"/>
        </w:rPr>
      </w:pPr>
      <w:r w:rsidRPr="00606DD1">
        <w:rPr>
          <w:rFonts w:ascii="Arial" w:eastAsia="Times New Roman" w:hAnsi="Arial" w:cs="Arial"/>
          <w:color w:val="222222"/>
          <w:sz w:val="20"/>
          <w:szCs w:val="20"/>
          <w:bdr w:val="none" w:sz="0" w:space="0" w:color="auto" w:frame="1"/>
          <w:lang w:eastAsia="en-CA"/>
        </w:rPr>
        <w:t>30 Duke St. W., Suite #1023</w:t>
      </w:r>
    </w:p>
    <w:p w14:paraId="3200C979" w14:textId="77777777" w:rsidR="00B041A3" w:rsidRPr="00606DD1" w:rsidRDefault="00B041A3" w:rsidP="00B041A3">
      <w:pPr>
        <w:shd w:val="clear" w:color="auto" w:fill="FFFFFF"/>
        <w:spacing w:after="0" w:line="300" w:lineRule="atLeast"/>
        <w:textAlignment w:val="baseline"/>
        <w:rPr>
          <w:rFonts w:ascii="Calibri" w:eastAsia="Times New Roman" w:hAnsi="Calibri" w:cs="Calibri"/>
          <w:color w:val="000000"/>
          <w:lang w:eastAsia="en-CA"/>
        </w:rPr>
      </w:pPr>
      <w:r w:rsidRPr="00606DD1">
        <w:rPr>
          <w:rFonts w:ascii="Arial" w:eastAsia="Times New Roman" w:hAnsi="Arial" w:cs="Arial"/>
          <w:color w:val="222222"/>
          <w:sz w:val="20"/>
          <w:szCs w:val="20"/>
          <w:bdr w:val="none" w:sz="0" w:space="0" w:color="auto" w:frame="1"/>
          <w:lang w:eastAsia="en-CA"/>
        </w:rPr>
        <w:t>Kitchener, ON.</w:t>
      </w:r>
    </w:p>
    <w:p w14:paraId="633DF568" w14:textId="77777777" w:rsidR="00B041A3" w:rsidRPr="00606DD1" w:rsidRDefault="00B041A3" w:rsidP="00B041A3">
      <w:pPr>
        <w:shd w:val="clear" w:color="auto" w:fill="FFFFFF"/>
        <w:spacing w:after="0" w:line="300" w:lineRule="atLeast"/>
        <w:textAlignment w:val="baseline"/>
        <w:rPr>
          <w:rFonts w:ascii="Calibri" w:eastAsia="Times New Roman" w:hAnsi="Calibri" w:cs="Calibri"/>
          <w:color w:val="000000"/>
          <w:lang w:eastAsia="en-CA"/>
        </w:rPr>
      </w:pPr>
      <w:r w:rsidRPr="00606DD1">
        <w:rPr>
          <w:rFonts w:ascii="Arial" w:eastAsia="Times New Roman" w:hAnsi="Arial" w:cs="Arial"/>
          <w:color w:val="222222"/>
          <w:sz w:val="20"/>
          <w:szCs w:val="20"/>
          <w:bdr w:val="none" w:sz="0" w:space="0" w:color="auto" w:frame="1"/>
          <w:lang w:eastAsia="en-CA"/>
        </w:rPr>
        <w:t>N2H 3W5</w:t>
      </w:r>
    </w:p>
    <w:p w14:paraId="5AFC7770" w14:textId="77777777" w:rsidR="00B041A3" w:rsidRPr="00606DD1" w:rsidRDefault="00B041A3" w:rsidP="00B041A3">
      <w:pPr>
        <w:shd w:val="clear" w:color="auto" w:fill="FFFFFF"/>
        <w:spacing w:after="0" w:line="300" w:lineRule="atLeast"/>
        <w:textAlignment w:val="baseline"/>
        <w:rPr>
          <w:rFonts w:ascii="Calibri" w:eastAsia="Times New Roman" w:hAnsi="Calibri" w:cs="Calibri"/>
          <w:color w:val="000000"/>
          <w:lang w:eastAsia="en-CA"/>
        </w:rPr>
      </w:pPr>
      <w:r w:rsidRPr="00606DD1">
        <w:rPr>
          <w:rFonts w:ascii="Arial" w:eastAsia="Times New Roman" w:hAnsi="Arial" w:cs="Arial"/>
          <w:color w:val="222222"/>
          <w:sz w:val="20"/>
          <w:szCs w:val="20"/>
          <w:bdr w:val="none" w:sz="0" w:space="0" w:color="auto" w:frame="1"/>
          <w:lang w:eastAsia="en-CA"/>
        </w:rPr>
        <w:t>(226) 476-5996</w:t>
      </w:r>
    </w:p>
    <w:p w14:paraId="227EE9AB" w14:textId="77777777" w:rsidR="00B041A3" w:rsidRPr="00606DD1" w:rsidRDefault="00B041A3" w:rsidP="00B041A3">
      <w:pPr>
        <w:shd w:val="clear" w:color="auto" w:fill="FFFFFF"/>
        <w:spacing w:after="0" w:line="300" w:lineRule="atLeast"/>
        <w:textAlignment w:val="baseline"/>
        <w:rPr>
          <w:rFonts w:ascii="Calibri" w:eastAsia="Times New Roman" w:hAnsi="Calibri" w:cs="Calibri"/>
          <w:color w:val="000000"/>
          <w:lang w:eastAsia="en-CA"/>
        </w:rPr>
      </w:pPr>
      <w:r w:rsidRPr="00606DD1">
        <w:rPr>
          <w:rFonts w:ascii="Tahoma" w:eastAsia="Times New Roman" w:hAnsi="Tahoma" w:cs="Tahoma"/>
          <w:color w:val="000000"/>
          <w:sz w:val="20"/>
          <w:szCs w:val="20"/>
          <w:bdr w:val="none" w:sz="0" w:space="0" w:color="auto" w:frame="1"/>
          <w:lang w:eastAsia="en-CA"/>
        </w:rPr>
        <w:t>Toll-Free: 1-844-755-5996</w:t>
      </w:r>
    </w:p>
    <w:p w14:paraId="6CD9B70E" w14:textId="77777777" w:rsidR="00624386" w:rsidRPr="008A7E17" w:rsidRDefault="00624386">
      <w:pPr>
        <w:rPr>
          <w:rFonts w:ascii="Calibri" w:hAnsi="Calibri" w:cs="Calibri"/>
          <w:sz w:val="22"/>
          <w:szCs w:val="22"/>
        </w:rPr>
      </w:pPr>
    </w:p>
    <w:p w14:paraId="0ED07FF6" w14:textId="77777777" w:rsidR="00DD1224" w:rsidRPr="000D6870" w:rsidRDefault="00DD1224">
      <w:pPr>
        <w:rPr>
          <w:rFonts w:ascii="Calibri" w:hAnsi="Calibri" w:cs="Calibri"/>
          <w:sz w:val="20"/>
          <w:szCs w:val="20"/>
        </w:rPr>
      </w:pPr>
    </w:p>
    <w:sectPr w:rsidR="00DD1224" w:rsidRPr="000D6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1A"/>
    <w:rsid w:val="000A7731"/>
    <w:rsid w:val="000D6870"/>
    <w:rsid w:val="000F7941"/>
    <w:rsid w:val="001075EB"/>
    <w:rsid w:val="00116F3A"/>
    <w:rsid w:val="00121721"/>
    <w:rsid w:val="00174AC4"/>
    <w:rsid w:val="001A1835"/>
    <w:rsid w:val="00232EB2"/>
    <w:rsid w:val="002434D8"/>
    <w:rsid w:val="002D7F73"/>
    <w:rsid w:val="003226FB"/>
    <w:rsid w:val="003D0355"/>
    <w:rsid w:val="00412F1A"/>
    <w:rsid w:val="004153BD"/>
    <w:rsid w:val="00430703"/>
    <w:rsid w:val="004616A5"/>
    <w:rsid w:val="00464A7B"/>
    <w:rsid w:val="00512874"/>
    <w:rsid w:val="00516927"/>
    <w:rsid w:val="00517724"/>
    <w:rsid w:val="0052609F"/>
    <w:rsid w:val="00535A47"/>
    <w:rsid w:val="00573325"/>
    <w:rsid w:val="00580C71"/>
    <w:rsid w:val="00624386"/>
    <w:rsid w:val="0064338B"/>
    <w:rsid w:val="00723624"/>
    <w:rsid w:val="0073255A"/>
    <w:rsid w:val="0074629C"/>
    <w:rsid w:val="0076405F"/>
    <w:rsid w:val="00775B0A"/>
    <w:rsid w:val="00784C15"/>
    <w:rsid w:val="007C5D9D"/>
    <w:rsid w:val="007D781B"/>
    <w:rsid w:val="008366FB"/>
    <w:rsid w:val="008A7E17"/>
    <w:rsid w:val="0092198F"/>
    <w:rsid w:val="00921BBB"/>
    <w:rsid w:val="00922A77"/>
    <w:rsid w:val="009249F6"/>
    <w:rsid w:val="0095338E"/>
    <w:rsid w:val="00996725"/>
    <w:rsid w:val="009B7B3E"/>
    <w:rsid w:val="009C7445"/>
    <w:rsid w:val="00A13058"/>
    <w:rsid w:val="00A428FA"/>
    <w:rsid w:val="00A65D70"/>
    <w:rsid w:val="00AE63C9"/>
    <w:rsid w:val="00B041A3"/>
    <w:rsid w:val="00B5782C"/>
    <w:rsid w:val="00B83B00"/>
    <w:rsid w:val="00BB581E"/>
    <w:rsid w:val="00BC4773"/>
    <w:rsid w:val="00C003EF"/>
    <w:rsid w:val="00C612D4"/>
    <w:rsid w:val="00CA4B51"/>
    <w:rsid w:val="00D1681B"/>
    <w:rsid w:val="00D26852"/>
    <w:rsid w:val="00DD1224"/>
    <w:rsid w:val="00E405E0"/>
    <w:rsid w:val="00E43A1B"/>
    <w:rsid w:val="00EB66BD"/>
    <w:rsid w:val="00EE5B43"/>
    <w:rsid w:val="00F15116"/>
    <w:rsid w:val="00F5670D"/>
    <w:rsid w:val="00F61D87"/>
    <w:rsid w:val="00FA1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F346"/>
  <w15:chartTrackingRefBased/>
  <w15:docId w15:val="{D7FD9670-4286-4CF3-A20B-0C20430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1A"/>
    <w:pPr>
      <w:spacing w:after="120"/>
    </w:pPr>
    <w:rPr>
      <w:rFonts w:eastAsiaTheme="minorEastAsia"/>
      <w:kern w:val="0"/>
      <w:sz w:val="18"/>
      <w:szCs w:val="18"/>
      <w:lang w:val="en-US" w:eastAsia="ja-JP"/>
      <w14:ligatures w14:val="none"/>
    </w:rPr>
  </w:style>
  <w:style w:type="paragraph" w:styleId="Heading1">
    <w:name w:val="heading 1"/>
    <w:basedOn w:val="Normal"/>
    <w:next w:val="Normal"/>
    <w:link w:val="Heading1Char"/>
    <w:uiPriority w:val="2"/>
    <w:qFormat/>
    <w:rsid w:val="00412F1A"/>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12F1A"/>
    <w:rPr>
      <w:rFonts w:eastAsiaTheme="minorEastAsia"/>
      <w:b/>
      <w:kern w:val="0"/>
      <w:sz w:val="18"/>
      <w:szCs w:val="18"/>
      <w:lang w:val="en-US" w:eastAsia="ja-JP"/>
      <w14:ligatures w14:val="none"/>
    </w:rPr>
  </w:style>
  <w:style w:type="table" w:styleId="TableGrid">
    <w:name w:val="Table Grid"/>
    <w:basedOn w:val="TableNormal"/>
    <w:uiPriority w:val="1"/>
    <w:rsid w:val="00412F1A"/>
    <w:pPr>
      <w:spacing w:after="0" w:line="240" w:lineRule="auto"/>
    </w:pPr>
    <w:rPr>
      <w:rFonts w:eastAsiaTheme="minorEastAsia"/>
      <w:kern w:val="0"/>
      <w:sz w:val="18"/>
      <w:szCs w:val="18"/>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412F1A"/>
    <w:pPr>
      <w:spacing w:after="0" w:line="240" w:lineRule="auto"/>
    </w:pPr>
    <w:rPr>
      <w:rFonts w:eastAsiaTheme="minorEastAsia"/>
      <w:kern w:val="0"/>
      <w:sz w:val="18"/>
      <w:szCs w:val="18"/>
      <w:lang w:val="en-US" w:eastAsia="ja-JP"/>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249F6"/>
    <w:rPr>
      <w:color w:val="0563C1" w:themeColor="hyperlink"/>
      <w:u w:val="single"/>
    </w:rPr>
  </w:style>
  <w:style w:type="character" w:styleId="UnresolvedMention">
    <w:name w:val="Unresolved Mention"/>
    <w:basedOn w:val="DefaultParagraphFont"/>
    <w:uiPriority w:val="99"/>
    <w:semiHidden/>
    <w:unhideWhenUsed/>
    <w:rsid w:val="0092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igle@trinityholisticwealt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Wigle</dc:creator>
  <cp:keywords/>
  <dc:description/>
  <cp:lastModifiedBy>Sharon Wigle</cp:lastModifiedBy>
  <cp:revision>66</cp:revision>
  <dcterms:created xsi:type="dcterms:W3CDTF">2023-06-08T20:40:00Z</dcterms:created>
  <dcterms:modified xsi:type="dcterms:W3CDTF">2023-06-10T16:48:00Z</dcterms:modified>
</cp:coreProperties>
</file>